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572CA7" w:rsidRPr="00572CA7" w:rsidTr="00B230B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F60ED6" w:rsidRPr="00572CA7" w:rsidRDefault="00F60ED6" w:rsidP="00B230B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aps/>
                <w:color w:val="000000" w:themeColor="text1"/>
              </w:rPr>
              <w:t>Međunarodne financije II</w:t>
            </w:r>
          </w:p>
        </w:tc>
      </w:tr>
      <w:tr w:rsidR="00572CA7" w:rsidRPr="00572CA7" w:rsidTr="00B230B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572CA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EUE306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572CA7" w:rsidRPr="00572CA7" w:rsidTr="00B230B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Prof.dr.sc. Mario Pečarić</w:t>
            </w:r>
          </w:p>
          <w:p w:rsidR="00F60ED6" w:rsidRPr="00572CA7" w:rsidRDefault="00557454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dr. sc. Josip Visković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572CA7" w:rsidRPr="00572CA7" w:rsidTr="00B230B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572CA7" w:rsidRDefault="00557454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dr. sc. Josip Visković</w:t>
            </w:r>
          </w:p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ED6" w:rsidRPr="00572CA7" w:rsidRDefault="00F60ED6" w:rsidP="00B230B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ED6" w:rsidRPr="00572CA7" w:rsidRDefault="00F60ED6" w:rsidP="00B230B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ED6" w:rsidRPr="00572CA7" w:rsidRDefault="00F60ED6" w:rsidP="00B230B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572CA7" w:rsidRPr="00572CA7" w:rsidTr="00B230B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932FC1" w:rsidP="00B230B5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ED6" w:rsidRPr="00572CA7" w:rsidRDefault="00932FC1" w:rsidP="00572CA7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72CA7" w:rsidRPr="00572CA7" w:rsidTr="00B230B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572CA7" w:rsidRDefault="006113EA" w:rsidP="00572CA7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557454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572CA7" w:rsidRPr="00572CA7" w:rsidTr="00B230B5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572CA7" w:rsidRPr="00572CA7" w:rsidTr="00B230B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572CA7" w:rsidRDefault="00F60ED6" w:rsidP="00B230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sa sustavom, institucijama, tržištima te metodama analize u međunarodnom financijama</w:t>
            </w:r>
          </w:p>
        </w:tc>
      </w:tr>
      <w:tr w:rsidR="00572CA7" w:rsidRPr="00572CA7" w:rsidTr="00B230B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F60ED6" w:rsidRPr="00572CA7" w:rsidRDefault="00F60ED6" w:rsidP="00B230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572CA7" w:rsidRPr="00572CA7" w:rsidTr="00B230B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572CA7" w:rsidRDefault="00F60ED6" w:rsidP="00B230B5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F60ED6" w:rsidRPr="00572CA7" w:rsidRDefault="00F60ED6" w:rsidP="001A46E2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Kritički prosuđivati međunarodni financijski sustav. </w:t>
            </w:r>
          </w:p>
          <w:p w:rsidR="00F60ED6" w:rsidRPr="00572CA7" w:rsidRDefault="00F60ED6" w:rsidP="00B230B5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F60ED6" w:rsidRPr="00572CA7" w:rsidRDefault="00F60ED6" w:rsidP="00B230B5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:rsidR="00F60ED6" w:rsidRPr="00572CA7" w:rsidRDefault="00F60ED6" w:rsidP="00F60ED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Ocijeniti i kritički prosuđivati učinke </w:t>
            </w:r>
            <w:r w:rsidR="001A46E2"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i politike </w:t>
            </w: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međunarodnog kretanja kapitala (7. razina).</w:t>
            </w:r>
          </w:p>
          <w:p w:rsidR="00F60ED6" w:rsidRPr="00572CA7" w:rsidRDefault="00F60ED6" w:rsidP="00F60ED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Utvrditi i valorizirati </w:t>
            </w:r>
            <w:r w:rsidR="001A46E2"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politike i modele realnog deviznog tečaja </w:t>
            </w: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 kontekstu liberalizacije kapitalnih tijekova (7. razina).</w:t>
            </w:r>
          </w:p>
          <w:p w:rsidR="00F60ED6" w:rsidRPr="00572CA7" w:rsidRDefault="00F60ED6" w:rsidP="00F60ED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Ar</w:t>
            </w:r>
            <w:r w:rsidR="001A46E2"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gumentirati i vrednovati politike uravnoteženja bilance plaćanja u kontekstu liberalizacije kapitalnih tijekova i visokog vanjskog duga</w:t>
            </w: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(7. razina).</w:t>
            </w:r>
          </w:p>
          <w:p w:rsidR="00F60ED6" w:rsidRPr="00572CA7" w:rsidRDefault="000E66D0" w:rsidP="001A46E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Analizirati modele i uzroke različitih generacija valutnih kriza </w:t>
            </w:r>
          </w:p>
          <w:p w:rsidR="00F60ED6" w:rsidRPr="00572CA7" w:rsidRDefault="000E66D0" w:rsidP="00F60ED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trike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Kritički prosuđivati značaj međunarodnih financijskih tržišta</w:t>
            </w:r>
            <w:r w:rsidRPr="00572CA7">
              <w:rPr>
                <w:rFonts w:ascii="Arial" w:eastAsia="Times New Roman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  <w:p w:rsidR="00F60ED6" w:rsidRPr="00572CA7" w:rsidRDefault="00F60ED6" w:rsidP="00B230B5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72CA7" w:rsidRPr="00572CA7" w:rsidTr="00B230B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E3C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B2EA3" w:rsidRDefault="001B2EA3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:rsidR="001B2EA3" w:rsidRDefault="001B2EA3" w:rsidP="001B2EA3">
            <w:pPr>
              <w:rPr>
                <w:rFonts w:ascii="Arial" w:hAnsi="Arial" w:cs="Arial"/>
                <w:sz w:val="20"/>
                <w:szCs w:val="20"/>
              </w:rPr>
            </w:pPr>
          </w:p>
          <w:p w:rsidR="00F60ED6" w:rsidRPr="001B2EA3" w:rsidRDefault="00F60ED6" w:rsidP="001B2E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572CA7" w:rsidRPr="00572CA7" w:rsidTr="00B230B5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572CA7" w:rsidRPr="00572CA7" w:rsidTr="00B230B5">
              <w:tc>
                <w:tcPr>
                  <w:tcW w:w="2993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F60ED6" w:rsidRPr="00572CA7" w:rsidRDefault="00F60ED6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Uvod - tradicionalni i novi pristup međunarodnim financijama</w:t>
                  </w:r>
                </w:p>
              </w:tc>
              <w:tc>
                <w:tcPr>
                  <w:tcW w:w="709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572CA7" w:rsidRDefault="00B865DF" w:rsidP="00B865D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Uvod u suvremene modele i koncepte </w:t>
                  </w:r>
                  <w:r w:rsidR="00F60ED6"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međunarodnih financija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557454" w:rsidRPr="00572CA7" w:rsidRDefault="00557454" w:rsidP="00B230B5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Međunarodni tokovi kapitala i liberalizacija kapitalnog računa</w:t>
                  </w:r>
                </w:p>
              </w:tc>
              <w:tc>
                <w:tcPr>
                  <w:tcW w:w="709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3A46A8" w:rsidRPr="00572CA7" w:rsidRDefault="003A46A8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tendencija i oblika međunarodnog kretanja kapitala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557454" w:rsidRPr="00572CA7" w:rsidRDefault="00557454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Monetarna neovisnost u vrijeme financijske globalizacije – značaj tečajnih režima</w:t>
                  </w:r>
                </w:p>
              </w:tc>
              <w:tc>
                <w:tcPr>
                  <w:tcW w:w="709" w:type="dxa"/>
                </w:tcPr>
                <w:p w:rsidR="00B865DF" w:rsidRPr="00572CA7" w:rsidRDefault="00B865DF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557454" w:rsidRPr="00572CA7" w:rsidRDefault="00557454" w:rsidP="00752DAA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Trilema,kvadrilema</w:t>
                  </w:r>
                  <w:proofErr w:type="spellEnd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i dilema</w:t>
                  </w:r>
                </w:p>
              </w:tc>
              <w:tc>
                <w:tcPr>
                  <w:tcW w:w="709" w:type="dxa"/>
                  <w:vAlign w:val="center"/>
                </w:tcPr>
                <w:p w:rsidR="00B865DF" w:rsidRPr="00572CA7" w:rsidRDefault="00B865DF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B865DF" w:rsidRPr="00572CA7" w:rsidRDefault="003A46A8" w:rsidP="00B230B5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Intertemporalni</w:t>
                  </w:r>
                  <w:proofErr w:type="spellEnd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model bilance plaćanja</w:t>
                  </w:r>
                </w:p>
              </w:tc>
              <w:tc>
                <w:tcPr>
                  <w:tcW w:w="709" w:type="dxa"/>
                </w:tcPr>
                <w:p w:rsidR="00B865DF" w:rsidRPr="00572CA7" w:rsidRDefault="00B865DF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3A46A8" w:rsidRPr="00572CA7" w:rsidRDefault="003A46A8" w:rsidP="00B865D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Feldstein-Horioka</w:t>
                  </w:r>
                  <w:proofErr w:type="spellEnd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puzzle</w:t>
                  </w:r>
                  <w:proofErr w:type="spellEnd"/>
                </w:p>
              </w:tc>
              <w:tc>
                <w:tcPr>
                  <w:tcW w:w="709" w:type="dxa"/>
                  <w:vAlign w:val="center"/>
                </w:tcPr>
                <w:p w:rsidR="00B865DF" w:rsidRPr="00572CA7" w:rsidRDefault="00B865DF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664860" w:rsidRPr="00572CA7" w:rsidRDefault="00664860" w:rsidP="00B230B5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međunarodne investicijske pozicije i bilanca plaćanja</w:t>
                  </w:r>
                </w:p>
              </w:tc>
              <w:tc>
                <w:tcPr>
                  <w:tcW w:w="709" w:type="dxa"/>
                </w:tcPr>
                <w:p w:rsidR="00E044BB" w:rsidRPr="00572CA7" w:rsidRDefault="00E044BB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64860" w:rsidRPr="00572CA7" w:rsidRDefault="00664860" w:rsidP="00E044BB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međunarodne investicijske pozicije i bilanca plaćanja – studija slučaja</w:t>
                  </w:r>
                </w:p>
              </w:tc>
              <w:tc>
                <w:tcPr>
                  <w:tcW w:w="709" w:type="dxa"/>
                  <w:vAlign w:val="center"/>
                </w:tcPr>
                <w:p w:rsidR="00E044BB" w:rsidRPr="00572CA7" w:rsidRDefault="00E044BB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F60ED6" w:rsidRPr="00572CA7" w:rsidRDefault="00A81C70" w:rsidP="00A81C7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Institucionalni aspekti međunarodnog kretanja kapitala </w:t>
                  </w:r>
                </w:p>
              </w:tc>
              <w:tc>
                <w:tcPr>
                  <w:tcW w:w="709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A81C70" w:rsidRPr="00572CA7" w:rsidRDefault="00A81C70" w:rsidP="006648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Lucasov</w:t>
                  </w:r>
                  <w:proofErr w:type="spellEnd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paradoks</w:t>
                  </w:r>
                </w:p>
                <w:p w:rsidR="00F60ED6" w:rsidRPr="00572CA7" w:rsidRDefault="00F60ED6" w:rsidP="006648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B865DF" w:rsidRPr="00572CA7" w:rsidRDefault="00A81C70" w:rsidP="00A81C7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Realni devizni tečaj i prilagođavanja realnog deviznog tečaja </w:t>
                  </w:r>
                </w:p>
              </w:tc>
              <w:tc>
                <w:tcPr>
                  <w:tcW w:w="709" w:type="dxa"/>
                </w:tcPr>
                <w:p w:rsidR="00B865DF" w:rsidRPr="00572CA7" w:rsidRDefault="00B865DF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865DF" w:rsidRPr="00572CA7" w:rsidRDefault="00A81C70" w:rsidP="00A81C7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determinanti deviznog tečaj</w:t>
                  </w:r>
                  <w:r w:rsidR="007D51A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 – predviđanje deviznog tečaja</w:t>
                  </w:r>
                </w:p>
              </w:tc>
              <w:tc>
                <w:tcPr>
                  <w:tcW w:w="709" w:type="dxa"/>
                  <w:vAlign w:val="center"/>
                </w:tcPr>
                <w:p w:rsidR="00B865DF" w:rsidRPr="00572CA7" w:rsidRDefault="00B865DF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557454" w:rsidRPr="00572CA7" w:rsidRDefault="00A81C70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lastRenderedPageBreak/>
                    <w:t>Dutch</w:t>
                  </w:r>
                  <w:proofErr w:type="spellEnd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disease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557454" w:rsidRPr="00572CA7" w:rsidRDefault="00A81C70" w:rsidP="00BA6DC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Studija slučaja </w:t>
                  </w: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Dutch</w:t>
                  </w:r>
                  <w:proofErr w:type="spellEnd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disease</w:t>
                  </w:r>
                  <w:proofErr w:type="spellEnd"/>
                </w:p>
              </w:tc>
              <w:tc>
                <w:tcPr>
                  <w:tcW w:w="709" w:type="dxa"/>
                  <w:vAlign w:val="center"/>
                </w:tcPr>
                <w:p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F60ED6" w:rsidRPr="00572CA7" w:rsidRDefault="00664860" w:rsidP="00B230B5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Modeli prve, druge i treće generacije valutnih kriza</w:t>
                  </w:r>
                </w:p>
              </w:tc>
              <w:tc>
                <w:tcPr>
                  <w:tcW w:w="709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572CA7" w:rsidRDefault="00CC504B" w:rsidP="00CC504B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Modeli prve, druge i treće generacije valutnih kriza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F60ED6" w:rsidRPr="00572CA7" w:rsidRDefault="002B21E4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Teorijski pristupi regulacije kapitalnih tijekova</w:t>
                  </w:r>
                </w:p>
              </w:tc>
              <w:tc>
                <w:tcPr>
                  <w:tcW w:w="709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572CA7" w:rsidRDefault="002B21E4" w:rsidP="00953C17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kapitalnih kontrola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F60ED6" w:rsidRPr="00572CA7" w:rsidRDefault="009662E3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Međunarodno zaduživanje, </w:t>
                  </w:r>
                  <w:r w:rsidR="00CC504B"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upravljanje dugom</w:t>
                  </w:r>
                </w:p>
              </w:tc>
              <w:tc>
                <w:tcPr>
                  <w:tcW w:w="709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572CA7" w:rsidRDefault="002B21E4" w:rsidP="006648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Izlaganje i rasprava o seminarskim radovima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7D51AE" w:rsidRPr="007D51AE" w:rsidRDefault="007D51AE" w:rsidP="00B230B5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7D51AE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Međunarodna financijska tržišta</w:t>
                  </w:r>
                </w:p>
                <w:p w:rsidR="00F60ED6" w:rsidRPr="007D51AE" w:rsidRDefault="002B21E4" w:rsidP="00B230B5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7D51AE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Modelska analiza upravljanja vanjskim dugom</w:t>
                  </w:r>
                </w:p>
              </w:tc>
              <w:tc>
                <w:tcPr>
                  <w:tcW w:w="709" w:type="dxa"/>
                </w:tcPr>
                <w:p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572CA7" w:rsidRDefault="002B21E4" w:rsidP="002B21E4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Izlaganje i rasprava o seminarskim radovima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:rsidTr="00B230B5">
              <w:tc>
                <w:tcPr>
                  <w:tcW w:w="2993" w:type="dxa"/>
                  <w:vAlign w:val="center"/>
                </w:tcPr>
                <w:p w:rsidR="00F60ED6" w:rsidRPr="00572CA7" w:rsidRDefault="002B21E4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rizika zemlje</w:t>
                  </w:r>
                </w:p>
              </w:tc>
              <w:tc>
                <w:tcPr>
                  <w:tcW w:w="709" w:type="dxa"/>
                </w:tcPr>
                <w:p w:rsidR="00F60ED6" w:rsidRPr="00572CA7" w:rsidRDefault="00CC504B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572CA7" w:rsidRDefault="002B21E4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Izlaganje i rasprava o seminarskim radovima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F60ED6" w:rsidRPr="00572CA7" w:rsidRDefault="00F60ED6" w:rsidP="00B230B5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72CA7" w:rsidRPr="00572CA7" w:rsidTr="00B230B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F60ED6" w:rsidRPr="00572CA7" w:rsidRDefault="00932FC1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72CA7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 samostalni  zadaci  </w:t>
            </w:r>
          </w:p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72AAC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772AAC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772AAC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772AAC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72CA7" w:rsidRPr="00572CA7" w:rsidTr="00B230B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572CA7" w:rsidRPr="00572CA7" w:rsidTr="00B230B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CC504B" w:rsidP="002B356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B3563">
              <w:rPr>
                <w:rFonts w:ascii="Arial" w:hAnsi="Arial" w:cs="Arial"/>
                <w:color w:val="FF0000"/>
                <w:sz w:val="20"/>
                <w:szCs w:val="20"/>
              </w:rPr>
              <w:t xml:space="preserve">Da bi ostvario pravo na potpis student mora </w:t>
            </w:r>
            <w:r w:rsidR="00BC1368" w:rsidRPr="002B3563">
              <w:rPr>
                <w:rFonts w:ascii="Arial" w:hAnsi="Arial" w:cs="Arial"/>
                <w:color w:val="FF0000"/>
                <w:sz w:val="20"/>
                <w:szCs w:val="20"/>
              </w:rPr>
              <w:t xml:space="preserve">tijekom semestra riješiti </w:t>
            </w:r>
            <w:r w:rsidR="007D51AE" w:rsidRPr="002B3563">
              <w:rPr>
                <w:rFonts w:ascii="Arial" w:hAnsi="Arial" w:cs="Arial"/>
                <w:color w:val="FF0000"/>
                <w:sz w:val="20"/>
                <w:szCs w:val="20"/>
              </w:rPr>
              <w:t xml:space="preserve">minimalno </w:t>
            </w:r>
            <w:r w:rsidR="00932FC1" w:rsidRPr="002B3563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  <w:r w:rsidR="00BC1368" w:rsidRPr="002B3563">
              <w:rPr>
                <w:rFonts w:ascii="Arial" w:hAnsi="Arial" w:cs="Arial"/>
                <w:color w:val="FF0000"/>
                <w:sz w:val="20"/>
                <w:szCs w:val="20"/>
              </w:rPr>
              <w:t xml:space="preserve"> samostaln</w:t>
            </w:r>
            <w:r w:rsidR="00932FC1" w:rsidRPr="002B3563">
              <w:rPr>
                <w:rFonts w:ascii="Arial" w:hAnsi="Arial" w:cs="Arial"/>
                <w:color w:val="FF0000"/>
                <w:sz w:val="20"/>
                <w:szCs w:val="20"/>
              </w:rPr>
              <w:t>a</w:t>
            </w:r>
            <w:r w:rsidR="00BC1368" w:rsidRPr="002B3563">
              <w:rPr>
                <w:rFonts w:ascii="Arial" w:hAnsi="Arial" w:cs="Arial"/>
                <w:color w:val="FF0000"/>
                <w:sz w:val="20"/>
                <w:szCs w:val="20"/>
              </w:rPr>
              <w:t xml:space="preserve"> zadatka</w:t>
            </w:r>
            <w:r w:rsidR="007D51AE" w:rsidRPr="002B3563">
              <w:rPr>
                <w:rFonts w:ascii="Arial" w:hAnsi="Arial" w:cs="Arial"/>
                <w:color w:val="FF0000"/>
                <w:sz w:val="20"/>
                <w:szCs w:val="20"/>
              </w:rPr>
              <w:t xml:space="preserve"> te ostvariti minimalno 50% prisutnosti na nastavi.</w:t>
            </w:r>
          </w:p>
        </w:tc>
      </w:tr>
      <w:tr w:rsidR="00572CA7" w:rsidRPr="00572CA7" w:rsidTr="00B230B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72CA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551F54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439B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72CA7" w:rsidRPr="00572CA7" w:rsidTr="00B230B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F60ED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439B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F60ED6" w:rsidRPr="00572CA7" w:rsidRDefault="003C439B" w:rsidP="003C43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551F54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572CA7" w:rsidRPr="00572CA7" w:rsidTr="00B230B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F60ED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439B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60ED6" w:rsidRPr="00572CA7" w:rsidRDefault="00BC1368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551F54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72CA7" w:rsidRPr="00572CA7" w:rsidTr="00B230B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F60ED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60ED6" w:rsidRPr="00572CA7" w:rsidRDefault="00BC1368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="00F60ED6" w:rsidRPr="00572CA7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72CA7" w:rsidRPr="00572CA7" w:rsidTr="00B230B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F60ED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BC1368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72CA7" w:rsidRPr="00572CA7" w:rsidTr="00B230B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Provjera znanja putem kolokvija tijekom semestra odnosno putem pismenog ispita.</w:t>
            </w:r>
          </w:p>
          <w:p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 Polaganje kolokvija zamjenjuje </w:t>
            </w:r>
            <w:r w:rsidR="001E3FAD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ispit.</w:t>
            </w:r>
          </w:p>
          <w:p w:rsidR="00CC504B" w:rsidRPr="00572CA7" w:rsidRDefault="001E3FAD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Udio k</w:t>
            </w:r>
            <w:r w:rsidR="00CC504B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olokvij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CC504B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je</w:t>
            </w:r>
            <w:r w:rsidR="00CC504B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D5BF4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70% </w:t>
            </w:r>
            <w:r w:rsidR="00CC504B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ukupne ocjene, </w:t>
            </w:r>
            <w:r w:rsidR="00ED5BF4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 w:rsidR="00261187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seminarsk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og</w:t>
            </w:r>
            <w:r w:rsidR="00261187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rad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261187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30%, </w:t>
            </w:r>
            <w:r w:rsidR="00CC504B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od ukupne ocjene.</w:t>
            </w:r>
          </w:p>
          <w:p w:rsidR="00CC504B" w:rsidRPr="00572CA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C504B" w:rsidRPr="00572CA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Bodovni pragovi i odgovarajuće ocjene </w:t>
            </w:r>
            <w:r w:rsidR="00CF33A2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kolegija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:rsidR="0043509D" w:rsidRPr="00572CA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0-50      nedovoljan (1)</w:t>
            </w:r>
          </w:p>
          <w:p w:rsidR="0043509D" w:rsidRPr="00572CA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51-65    dovoljan (2)</w:t>
            </w:r>
          </w:p>
          <w:p w:rsidR="0043509D" w:rsidRPr="00572CA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:rsidR="0043509D" w:rsidRPr="00572CA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:rsidR="00CC504B" w:rsidRPr="00572CA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:rsidR="0043509D" w:rsidRPr="00572CA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C504B" w:rsidRPr="00572CA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smatra položenim ako je student:</w:t>
            </w:r>
          </w:p>
          <w:p w:rsidR="00CC504B" w:rsidRPr="00572CA7" w:rsidRDefault="00261187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CC504B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u prosjeku ostvario prolaznu ocjenu iz pisanih provjera znanja (</w:t>
            </w:r>
            <w:r w:rsidR="0043509D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minimalno 50% iz kolokvija</w:t>
            </w:r>
            <w:r w:rsidR="004673DA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iz pisanog završnog ispita</w:t>
            </w:r>
            <w:r w:rsidR="0043509D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),</w:t>
            </w:r>
          </w:p>
          <w:p w:rsidR="00CC504B" w:rsidRPr="00572CA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261187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3509D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uspješno napisao i prezentirao seminarski rad,</w:t>
            </w:r>
          </w:p>
          <w:p w:rsidR="00261187" w:rsidRPr="00572CA7" w:rsidRDefault="00261187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43509D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aktivno sudjelovao u </w:t>
            </w:r>
            <w:r w:rsidR="00932FC1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samostalnim zadacima </w:t>
            </w:r>
          </w:p>
          <w:p w:rsidR="00261187" w:rsidRPr="00572CA7" w:rsidRDefault="00261187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73DA" w:rsidRPr="00572CA7" w:rsidRDefault="004673DA" w:rsidP="004673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:rsidR="004673DA" w:rsidRPr="00572CA7" w:rsidRDefault="004673DA" w:rsidP="004673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1) ukupno ostvarenih bodova na pisanim provjerama z</w:t>
            </w:r>
            <w:r w:rsidR="00BC1368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nanja umnožene s ponderom od 0.7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BC1368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</w:t>
            </w:r>
          </w:p>
          <w:p w:rsidR="00572CA7" w:rsidRPr="00572CA7" w:rsidRDefault="004673DA" w:rsidP="00572CA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2) ocjene ostvarene seminarskim radom umnožene s ponderom od 0.3 </w:t>
            </w:r>
          </w:p>
          <w:p w:rsidR="00CC504B" w:rsidRPr="00572CA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572CA7" w:rsidRPr="00572CA7" w:rsidTr="00B230B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60ED6" w:rsidRPr="00572CA7" w:rsidRDefault="00F60ED6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572CA7" w:rsidRPr="00572CA7" w:rsidTr="00B230B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572CA7" w:rsidRDefault="00381AC2" w:rsidP="00F60E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381AC2" w:rsidP="00572CA7">
            <w:pPr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 xml:space="preserve">Autorizirana predavanja i nastavni materijali na Moodle stranicama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  <w:p w:rsidR="00381AC2" w:rsidRPr="00572CA7" w:rsidRDefault="00381AC2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572CA7" w:rsidRPr="00572CA7" w:rsidTr="00B230B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572CA7" w:rsidRDefault="00381AC2" w:rsidP="00F60E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Terra, C. (2015.): „Principles of International Finance and Open Economy Macroeconomics” Academic Press, Elsevier, UK</w:t>
            </w:r>
          </w:p>
          <w:p w:rsidR="00381AC2" w:rsidRPr="00572CA7" w:rsidRDefault="00381AC2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72CA7" w:rsidRPr="00572CA7" w:rsidTr="00B230B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572CA7" w:rsidRDefault="00381AC2" w:rsidP="00F60E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381AC2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72CA7" w:rsidRPr="00572CA7" w:rsidTr="00B230B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572CA7" w:rsidRDefault="00381AC2" w:rsidP="00F60E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AC2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772AAC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AC2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772AAC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AC2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72CA7" w:rsidRPr="00572CA7" w:rsidTr="00B230B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572CA7" w:rsidRDefault="00381AC2" w:rsidP="00B230B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381AC2" w:rsidRPr="00572CA7" w:rsidRDefault="00381AC2" w:rsidP="00B230B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</w:p>
          <w:p w:rsidR="00551F54" w:rsidRPr="00572CA7" w:rsidRDefault="00551F54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Bićanić, I. i Deskar Škrbić, M. (2018.): „Makroekonomika I za ekonomiste i neekonomiste”</w:t>
            </w:r>
          </w:p>
          <w:p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Lovrinović, I.: Globalne financije, Accent, 2015., Zagreb</w:t>
            </w:r>
          </w:p>
          <w:p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Copeland, L.: Exchange Rates and International Finance, Prentice Hall, 2008.</w:t>
            </w:r>
          </w:p>
          <w:p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Krugman, P.R.. Obstfeld, M.: Međunarodna ekonomija, VII izdanje, MATE 2009.</w:t>
            </w:r>
          </w:p>
          <w:p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Miles, D., Scott, A., Breedon, F.: Macroeconomics – Understanding the Global Economy, John Wiley and Sons LtD 2012.</w:t>
            </w:r>
          </w:p>
          <w:p w:rsidR="00381AC2" w:rsidRPr="00572CA7" w:rsidRDefault="00381AC2" w:rsidP="0026118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:rsidR="00381AC2" w:rsidRPr="00572CA7" w:rsidRDefault="00381AC2" w:rsidP="00261187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572CA7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  <w:t xml:space="preserve">Članci: </w:t>
            </w:r>
          </w:p>
          <w:p w:rsidR="00381AC2" w:rsidRPr="00572CA7" w:rsidRDefault="00381AC2" w:rsidP="0026118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:rsidR="00CF6EE4" w:rsidRPr="00572CA7" w:rsidRDefault="00DC52E2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Alfaro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L.,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Kalelmi-Ozcan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S.,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Volosovych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V. (2008.) „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Why doesn't Capital Flow from Rich to Poor Countries? An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Empirical Investigation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”,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Review of Economics and Statistics. 90 (2): 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p. 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347–368.</w:t>
            </w:r>
          </w:p>
          <w:p w:rsidR="00CF6EE4" w:rsidRPr="00572CA7" w:rsidRDefault="00DC52E2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Aristovnik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A. (2006.): „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Current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account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deficit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sustainability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selected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transition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economies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”, Zbornik Ekonomskog fakulteta Rijeka: Časopis za ekonomsku teoriju i praksu, Vol. 24,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Issue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1., p. 81. – 102.</w:t>
            </w:r>
          </w:p>
          <w:p w:rsidR="00CF6EE4" w:rsidRPr="00572CA7" w:rsidRDefault="00DC52E2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Boonstra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W. (2008.): “National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savings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international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investment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position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what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does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current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account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tell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us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?”, Zbornik Ekonomskog fakulteta Rijeka: Časopis za ekonomsku teoriju i praksu, Vol. 26,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Issue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1., p. 9. – 40.</w:t>
            </w:r>
          </w:p>
          <w:p w:rsidR="00551F54" w:rsidRPr="00572CA7" w:rsidRDefault="00551F54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Magud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N. i Sosa, S .(2010.): „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When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Why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Worry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About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Real Exchange Rate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Appreciation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?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Missing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Link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between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Dutch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Disease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Growth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” IMF WP/10/271</w:t>
            </w:r>
          </w:p>
          <w:p w:rsidR="00551F54" w:rsidRPr="00572CA7" w:rsidRDefault="00551F54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Acosta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P.A,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Lartey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E.K.K. i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Mandelman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F.S.: (2009.): „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Remittances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Dutch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disease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”, Journal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of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International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Economics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Vol 79, 102-116</w:t>
            </w:r>
          </w:p>
          <w:p w:rsidR="00551F54" w:rsidRPr="00572CA7" w:rsidRDefault="00551F54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National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Geographic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rujan 2017.</w:t>
            </w:r>
          </w:p>
          <w:p w:rsidR="00CF6EE4" w:rsidRPr="00572CA7" w:rsidRDefault="00DC52E2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Feldstein, M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. i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Horioka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, C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(1980), "Domestic Saving and International Capital Flows", Economic Journal, 90 (358): 314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. 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–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329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:rsidR="00551F54" w:rsidRPr="00572CA7" w:rsidRDefault="00551F54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Aizenmann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J.,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Chinn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M. D. i Ito, H. (2008): „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Assessing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emerging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global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financial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architecture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measuring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trilemma's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configurations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over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time”, NBER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Working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Paper</w:t>
            </w:r>
            <w:proofErr w:type="spellEnd"/>
          </w:p>
          <w:p w:rsidR="00CF6EE4" w:rsidRPr="00572CA7" w:rsidRDefault="00DC52E2" w:rsidP="00551F5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Akira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Ariyoshi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, Karl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Habermeier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, Bernard Laurens,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Inci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Otker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-Robe, Jorge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Iván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Canales-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Kriljenko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, and Andrei Kirilenko: “Capital Controls: Country Experiences with Their Use and Liberalization” (2000.)</w:t>
            </w:r>
          </w:p>
          <w:p w:rsidR="00551F54" w:rsidRPr="00572CA7" w:rsidRDefault="00551F54" w:rsidP="0026118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:rsidR="00381AC2" w:rsidRPr="00572CA7" w:rsidRDefault="00381AC2" w:rsidP="00261187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:rsidR="00381AC2" w:rsidRPr="00572CA7" w:rsidRDefault="00381AC2" w:rsidP="0026118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Financial statistics (www.imf.org)</w:t>
            </w:r>
          </w:p>
          <w:p w:rsidR="00381AC2" w:rsidRPr="00572CA7" w:rsidRDefault="00381AC2" w:rsidP="0026118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World Economic Outlook (</w:t>
            </w:r>
            <w:hyperlink r:id="rId7" w:history="1">
              <w:r w:rsidRPr="00572CA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www.imf.org</w:t>
              </w:r>
            </w:hyperlink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</w:t>
            </w:r>
          </w:p>
          <w:p w:rsidR="00381AC2" w:rsidRPr="00572CA7" w:rsidRDefault="00381AC2" w:rsidP="00F539FE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Eurostat</w:t>
            </w:r>
            <w:r w:rsidRPr="00572CA7">
              <w:rPr>
                <w:color w:val="000000" w:themeColor="text1"/>
              </w:rPr>
              <w:t xml:space="preserve"> (</w:t>
            </w:r>
            <w:hyperlink r:id="rId8" w:history="1">
              <w:r w:rsidRPr="00572CA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http://ec.europa.eu/eurostat</w:t>
              </w:r>
            </w:hyperlink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</w:t>
            </w:r>
          </w:p>
          <w:p w:rsidR="00F539FE" w:rsidRPr="00572CA7" w:rsidRDefault="00F539FE" w:rsidP="00F539FE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  <w:t>World Bank (</w:t>
            </w:r>
            <w:hyperlink r:id="rId9" w:history="1">
              <w:r w:rsidRPr="00572CA7">
                <w:rPr>
                  <w:rStyle w:val="Hiperveza"/>
                  <w:rFonts w:ascii="Arial" w:hAnsi="Arial" w:cs="Arial"/>
                  <w:noProof/>
                  <w:color w:val="000000" w:themeColor="text1"/>
                  <w:sz w:val="18"/>
                  <w:szCs w:val="18"/>
                  <w:lang w:eastAsia="hr-HR"/>
                </w:rPr>
                <w:t>https://data.worldbank.org</w:t>
              </w:r>
            </w:hyperlink>
            <w:r w:rsidRPr="00572CA7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  <w:t xml:space="preserve"> )</w:t>
            </w:r>
          </w:p>
          <w:p w:rsidR="00F539FE" w:rsidRPr="00572CA7" w:rsidRDefault="00D349EC" w:rsidP="00F539FE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</w:pPr>
            <w:hyperlink r:id="rId10" w:history="1">
              <w:r w:rsidR="00F539FE" w:rsidRPr="00572CA7">
                <w:rPr>
                  <w:rStyle w:val="Hiperveza"/>
                  <w:rFonts w:ascii="Arial" w:hAnsi="Arial" w:cs="Arial"/>
                  <w:noProof/>
                  <w:color w:val="000000" w:themeColor="text1"/>
                  <w:sz w:val="18"/>
                  <w:szCs w:val="18"/>
                  <w:lang w:eastAsia="hr-HR"/>
                </w:rPr>
                <w:t>http://web.pdx.edu/~ito/Chinn-Ito_website.htm</w:t>
              </w:r>
            </w:hyperlink>
            <w:r w:rsidR="00F539FE" w:rsidRPr="00572CA7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572CA7" w:rsidRPr="00572CA7" w:rsidTr="00B230B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572CA7" w:rsidRDefault="00381AC2" w:rsidP="00B230B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381AC2" w:rsidRPr="00572CA7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381AC2" w:rsidRPr="00572CA7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381AC2" w:rsidRPr="00572CA7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81AC2" w:rsidRPr="00572CA7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572CA7" w:rsidRPr="00572CA7" w:rsidTr="00B230B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572CA7" w:rsidRDefault="00381AC2" w:rsidP="00B230B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572CA7" w:rsidRDefault="00381AC2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392B7B" w:rsidRPr="00572CA7" w:rsidRDefault="00392B7B">
      <w:pPr>
        <w:rPr>
          <w:color w:val="000000" w:themeColor="text1"/>
        </w:rPr>
      </w:pPr>
    </w:p>
    <w:p w:rsidR="0043509D" w:rsidRPr="009E13E6" w:rsidRDefault="0043509D"/>
    <w:sectPr w:rsidR="0043509D" w:rsidRPr="009E13E6" w:rsidSect="0062729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9EC" w:rsidRDefault="00D349EC" w:rsidP="00BF1008">
      <w:pPr>
        <w:spacing w:after="0" w:line="240" w:lineRule="auto"/>
      </w:pPr>
      <w:r>
        <w:separator/>
      </w:r>
    </w:p>
  </w:endnote>
  <w:endnote w:type="continuationSeparator" w:id="0">
    <w:p w:rsidR="00D349EC" w:rsidRDefault="00D349EC" w:rsidP="00BF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EA3" w:rsidRPr="001B2EA3" w:rsidRDefault="001B2EA3" w:rsidP="001B2EA3">
    <w:pPr>
      <w:tabs>
        <w:tab w:val="left" w:pos="1207"/>
        <w:tab w:val="center" w:pos="4536"/>
        <w:tab w:val="right" w:pos="9072"/>
      </w:tabs>
      <w:spacing w:after="0" w:line="240" w:lineRule="auto"/>
    </w:pPr>
    <w:r w:rsidRPr="001B2EA3">
      <w:t>2021./2022.</w:t>
    </w:r>
  </w:p>
  <w:p w:rsidR="00572CA7" w:rsidRDefault="001B2EA3" w:rsidP="001B2EA3">
    <w:pPr>
      <w:pStyle w:val="Podnoje"/>
    </w:pPr>
    <w:r w:rsidRPr="001B2EA3">
      <w:t>19/10/21 – 2.Sj.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9EC" w:rsidRDefault="00D349EC" w:rsidP="00BF1008">
      <w:pPr>
        <w:spacing w:after="0" w:line="240" w:lineRule="auto"/>
      </w:pPr>
      <w:r>
        <w:separator/>
      </w:r>
    </w:p>
  </w:footnote>
  <w:footnote w:type="continuationSeparator" w:id="0">
    <w:p w:rsidR="00D349EC" w:rsidRDefault="00D349EC" w:rsidP="00BF1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76C8C"/>
    <w:multiLevelType w:val="hybridMultilevel"/>
    <w:tmpl w:val="C42204A6"/>
    <w:lvl w:ilvl="0" w:tplc="C186DD9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09BC"/>
    <w:multiLevelType w:val="hybridMultilevel"/>
    <w:tmpl w:val="455E91A8"/>
    <w:lvl w:ilvl="0" w:tplc="4546EF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663C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1C0DB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22EAB1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8803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F6EBC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52E35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4809F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6A400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F1FAC"/>
    <w:multiLevelType w:val="hybridMultilevel"/>
    <w:tmpl w:val="A3DA957A"/>
    <w:lvl w:ilvl="0" w:tplc="FDDEFC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0DE3C9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AA841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BCAAB2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532DD3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9A753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A5467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71291B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B0F17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304747C2"/>
    <w:multiLevelType w:val="hybridMultilevel"/>
    <w:tmpl w:val="47CA9DD4"/>
    <w:lvl w:ilvl="0" w:tplc="D53C00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F6B57"/>
    <w:multiLevelType w:val="hybridMultilevel"/>
    <w:tmpl w:val="88942DDA"/>
    <w:lvl w:ilvl="0" w:tplc="546AB6D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D9C5E1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529DD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20DB6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86B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368DA5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358A5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1C8CA2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A9AE5B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5EAC24D2"/>
    <w:multiLevelType w:val="hybridMultilevel"/>
    <w:tmpl w:val="8E00FE14"/>
    <w:lvl w:ilvl="0" w:tplc="D53C00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988F2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1E95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2FCAA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DEC65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308EF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F7009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9C1E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8C6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3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ED6"/>
    <w:rsid w:val="00011E5A"/>
    <w:rsid w:val="000423BA"/>
    <w:rsid w:val="00084F55"/>
    <w:rsid w:val="000A14C3"/>
    <w:rsid w:val="000E271A"/>
    <w:rsid w:val="000E66D0"/>
    <w:rsid w:val="001839AF"/>
    <w:rsid w:val="001A46E2"/>
    <w:rsid w:val="001B2EA3"/>
    <w:rsid w:val="001E3FAD"/>
    <w:rsid w:val="002418DE"/>
    <w:rsid w:val="00261187"/>
    <w:rsid w:val="00274559"/>
    <w:rsid w:val="002A4773"/>
    <w:rsid w:val="002B21E4"/>
    <w:rsid w:val="002B3563"/>
    <w:rsid w:val="002B7793"/>
    <w:rsid w:val="00307A47"/>
    <w:rsid w:val="00381AC2"/>
    <w:rsid w:val="00392B7B"/>
    <w:rsid w:val="003A46A8"/>
    <w:rsid w:val="003C439B"/>
    <w:rsid w:val="0043509D"/>
    <w:rsid w:val="004440F6"/>
    <w:rsid w:val="004673DA"/>
    <w:rsid w:val="0047644E"/>
    <w:rsid w:val="00503635"/>
    <w:rsid w:val="00551F54"/>
    <w:rsid w:val="00557454"/>
    <w:rsid w:val="00560E51"/>
    <w:rsid w:val="00561030"/>
    <w:rsid w:val="00572CA7"/>
    <w:rsid w:val="006113EA"/>
    <w:rsid w:val="00614BC5"/>
    <w:rsid w:val="0062729D"/>
    <w:rsid w:val="00664860"/>
    <w:rsid w:val="00665F42"/>
    <w:rsid w:val="006723B1"/>
    <w:rsid w:val="00676E54"/>
    <w:rsid w:val="00752DAA"/>
    <w:rsid w:val="00772AAC"/>
    <w:rsid w:val="00774989"/>
    <w:rsid w:val="007D0E21"/>
    <w:rsid w:val="007D51AE"/>
    <w:rsid w:val="008033A2"/>
    <w:rsid w:val="0082757A"/>
    <w:rsid w:val="008951A8"/>
    <w:rsid w:val="008C5681"/>
    <w:rsid w:val="00932FC1"/>
    <w:rsid w:val="00953C17"/>
    <w:rsid w:val="009662E3"/>
    <w:rsid w:val="009A2E4E"/>
    <w:rsid w:val="009E13E6"/>
    <w:rsid w:val="00A5058A"/>
    <w:rsid w:val="00A731B8"/>
    <w:rsid w:val="00A81C70"/>
    <w:rsid w:val="00AB34D9"/>
    <w:rsid w:val="00AB79A4"/>
    <w:rsid w:val="00AC583D"/>
    <w:rsid w:val="00B230B5"/>
    <w:rsid w:val="00B24633"/>
    <w:rsid w:val="00B71101"/>
    <w:rsid w:val="00B865DF"/>
    <w:rsid w:val="00BA6DC1"/>
    <w:rsid w:val="00BC1368"/>
    <w:rsid w:val="00BF1008"/>
    <w:rsid w:val="00C92BB0"/>
    <w:rsid w:val="00C97CF3"/>
    <w:rsid w:val="00CB2F5F"/>
    <w:rsid w:val="00CC504B"/>
    <w:rsid w:val="00CC7F0B"/>
    <w:rsid w:val="00CF33A2"/>
    <w:rsid w:val="00CF6EE4"/>
    <w:rsid w:val="00D2718B"/>
    <w:rsid w:val="00D349EC"/>
    <w:rsid w:val="00D92150"/>
    <w:rsid w:val="00DC31C2"/>
    <w:rsid w:val="00DC52E2"/>
    <w:rsid w:val="00DD7793"/>
    <w:rsid w:val="00E044BB"/>
    <w:rsid w:val="00E31E3C"/>
    <w:rsid w:val="00E630F7"/>
    <w:rsid w:val="00ED5BF4"/>
    <w:rsid w:val="00EF1967"/>
    <w:rsid w:val="00F21C26"/>
    <w:rsid w:val="00F539FE"/>
    <w:rsid w:val="00F60ED6"/>
    <w:rsid w:val="00F80670"/>
    <w:rsid w:val="00F965A1"/>
    <w:rsid w:val="00F97E27"/>
    <w:rsid w:val="00FA27D2"/>
    <w:rsid w:val="00FA43F3"/>
    <w:rsid w:val="00FC3459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D37763-D533-4A64-8146-EBA32BF30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ED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0ED6"/>
    <w:pPr>
      <w:ind w:left="720"/>
      <w:contextualSpacing/>
    </w:pPr>
  </w:style>
  <w:style w:type="paragraph" w:customStyle="1" w:styleId="FieldText">
    <w:name w:val="Field Text"/>
    <w:basedOn w:val="Normal"/>
    <w:rsid w:val="00F60ED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F60ED6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BF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F1008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F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F1008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261187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13E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8002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6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6423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66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410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705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45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sta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mf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eb.pdx.edu/~ito/Chinn-Ito_websit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ata.worldbank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 Visković</dc:creator>
  <cp:lastModifiedBy>Katarina Sumić Milković</cp:lastModifiedBy>
  <cp:revision>4</cp:revision>
  <cp:lastPrinted>2020-09-24T10:14:00Z</cp:lastPrinted>
  <dcterms:created xsi:type="dcterms:W3CDTF">2021-09-28T08:25:00Z</dcterms:created>
  <dcterms:modified xsi:type="dcterms:W3CDTF">2021-10-12T09:28:00Z</dcterms:modified>
</cp:coreProperties>
</file>